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360" w:lineRule="auto"/>
        <w:jc w:val="center"/>
        <w:rPr/>
      </w:pPr>
      <w:bookmarkStart w:colFirst="0" w:colLast="0" w:name="_9px9iln9nchf" w:id="0"/>
      <w:bookmarkEnd w:id="0"/>
      <w:r w:rsidDel="00000000" w:rsidR="00000000" w:rsidRPr="00000000">
        <w:rPr>
          <w:rtl w:val="0"/>
        </w:rPr>
        <w:t xml:space="preserve">Project Report</w:t>
      </w:r>
    </w:p>
    <w:p w:rsidR="00000000" w:rsidDel="00000000" w:rsidP="00000000" w:rsidRDefault="00000000" w:rsidRPr="00000000" w14:paraId="00000002">
      <w:pPr>
        <w:spacing w:line="480" w:lineRule="auto"/>
        <w:jc w:val="both"/>
        <w:rPr/>
      </w:pPr>
      <w:r w:rsidDel="00000000" w:rsidR="00000000" w:rsidRPr="00000000">
        <w:rPr>
          <w:rtl w:val="0"/>
        </w:rPr>
      </w:r>
    </w:p>
    <w:p w:rsidR="00000000" w:rsidDel="00000000" w:rsidP="00000000" w:rsidRDefault="00000000" w:rsidRPr="00000000" w14:paraId="00000003">
      <w:pPr>
        <w:spacing w:line="480" w:lineRule="auto"/>
        <w:jc w:val="both"/>
        <w:rPr>
          <w:color w:val="0e101a"/>
        </w:rPr>
      </w:pPr>
      <w:r w:rsidDel="00000000" w:rsidR="00000000" w:rsidRPr="00000000">
        <w:rPr>
          <w:rtl w:val="0"/>
        </w:rPr>
        <w:t xml:space="preserve">The early 1980s marked a significant shift in computing, with personal computers becoming more accessible to businesses and home users. The companies sought to develop affordable, innovative alternatives to the dominant IBM PC. This project plan outlines the development of Synupter, a new modern computer by Syn Computing, leveraging the latest technology while balancing cost, functionality, and market competitiveness. The plan considers key design choices and addresses manufacturing constraints, market positioning, and financial considerations. With a focus on delivering a commercially viable machine, the project navigates technical challenges, resource limitations, and strategic partnerships. This document provides a structured approach to executing the project, ensuring a competitive, well-engineered product suited to the evolving computing landscape.</w:t>
      </w:r>
      <w:r w:rsidDel="00000000" w:rsidR="00000000" w:rsidRPr="00000000">
        <w:rPr>
          <w:rtl w:val="0"/>
        </w:rPr>
      </w:r>
    </w:p>
    <w:p w:rsidR="00000000" w:rsidDel="00000000" w:rsidP="00000000" w:rsidRDefault="00000000" w:rsidRPr="00000000" w14:paraId="00000004">
      <w:pPr>
        <w:pStyle w:val="Heading1"/>
        <w:keepNext w:val="0"/>
        <w:keepLines w:val="0"/>
        <w:spacing w:after="80" w:line="480" w:lineRule="auto"/>
        <w:jc w:val="both"/>
        <w:rPr/>
      </w:pPr>
      <w:bookmarkStart w:colFirst="0" w:colLast="0" w:name="_ucabrjbr0cje" w:id="1"/>
      <w:bookmarkEnd w:id="1"/>
      <w:r w:rsidDel="00000000" w:rsidR="00000000" w:rsidRPr="00000000">
        <w:rPr>
          <w:rtl w:val="0"/>
        </w:rPr>
        <w:t xml:space="preserve">Requirements </w:t>
      </w:r>
    </w:p>
    <w:p w:rsidR="00000000" w:rsidDel="00000000" w:rsidP="00000000" w:rsidRDefault="00000000" w:rsidRPr="00000000" w14:paraId="00000005">
      <w:pPr>
        <w:spacing w:after="240" w:before="240" w:line="480" w:lineRule="auto"/>
        <w:jc w:val="both"/>
        <w:rPr>
          <w:color w:val="0e101a"/>
        </w:rPr>
      </w:pPr>
      <w:r w:rsidDel="00000000" w:rsidR="00000000" w:rsidRPr="00000000">
        <w:rPr>
          <w:color w:val="0e101a"/>
          <w:rtl w:val="0"/>
        </w:rPr>
        <w:t xml:space="preserve">Core requirements include a Motorola 68k CPU, minimum 512KB RAM and expansion capabilities. EDC later required an industry-standard operating system, external keyboard capability, removable drives, SCSI expansion and GUI readiness.</w:t>
      </w:r>
    </w:p>
    <w:p w:rsidR="00000000" w:rsidDel="00000000" w:rsidP="00000000" w:rsidRDefault="00000000" w:rsidRPr="00000000" w14:paraId="00000006">
      <w:pPr>
        <w:spacing w:after="240" w:before="240" w:line="480" w:lineRule="auto"/>
        <w:jc w:val="both"/>
        <w:rPr>
          <w:color w:val="0e101a"/>
        </w:rPr>
      </w:pPr>
      <w:r w:rsidDel="00000000" w:rsidR="00000000" w:rsidRPr="00000000">
        <w:rPr>
          <w:color w:val="0e101a"/>
          <w:rtl w:val="0"/>
        </w:rPr>
        <w:t xml:space="preserve">Analysis revealed issues with the requirements-gathering process, similar to the challenges identified by Durham and Michel (2021), who note that inadequate requirement analysis frequently results in implementation failures. Key problems include:</w:t>
      </w:r>
    </w:p>
    <w:p w:rsidR="00000000" w:rsidDel="00000000" w:rsidP="00000000" w:rsidRDefault="00000000" w:rsidRPr="00000000" w14:paraId="00000007">
      <w:pPr>
        <w:spacing w:after="240" w:before="240" w:line="480" w:lineRule="auto"/>
        <w:jc w:val="both"/>
        <w:rPr>
          <w:color w:val="0e101a"/>
        </w:rPr>
      </w:pPr>
      <w:r w:rsidDel="00000000" w:rsidR="00000000" w:rsidRPr="00000000">
        <w:rPr>
          <w:b w:val="1"/>
          <w:color w:val="0e101a"/>
          <w:rtl w:val="0"/>
        </w:rPr>
        <w:t xml:space="preserve">Ambiguity</w:t>
      </w:r>
      <w:r w:rsidDel="00000000" w:rsidR="00000000" w:rsidRPr="00000000">
        <w:rPr>
          <w:color w:val="0e101a"/>
          <w:rtl w:val="0"/>
        </w:rPr>
        <w:t xml:space="preserve">: Terms like "industry compatibility" lacked precise definitions, leaving technical specifications open to interpretation. This reflects what Behave (2020) identifies as a primary cause of project failure, where misunderstandings between business and stakeholders can lead to requirement misalignment.</w:t>
      </w:r>
    </w:p>
    <w:p w:rsidR="00000000" w:rsidDel="00000000" w:rsidP="00000000" w:rsidRDefault="00000000" w:rsidRPr="00000000" w14:paraId="00000008">
      <w:pPr>
        <w:spacing w:after="240" w:before="240" w:line="480" w:lineRule="auto"/>
        <w:jc w:val="both"/>
        <w:rPr>
          <w:color w:val="0e101a"/>
        </w:rPr>
      </w:pPr>
      <w:r w:rsidDel="00000000" w:rsidR="00000000" w:rsidRPr="00000000">
        <w:rPr>
          <w:b w:val="1"/>
          <w:color w:val="0e101a"/>
          <w:rtl w:val="0"/>
        </w:rPr>
        <w:t xml:space="preserve">Conflicting priorities</w:t>
      </w:r>
      <w:r w:rsidDel="00000000" w:rsidR="00000000" w:rsidRPr="00000000">
        <w:rPr>
          <w:color w:val="0e101a"/>
          <w:rtl w:val="0"/>
        </w:rPr>
        <w:t xml:space="preserve">: The portable form factor with a 2kg weight constraint is incompatible with the requested hardware capabilities.</w:t>
      </w:r>
    </w:p>
    <w:p w:rsidR="00000000" w:rsidDel="00000000" w:rsidP="00000000" w:rsidRDefault="00000000" w:rsidRPr="00000000" w14:paraId="00000009">
      <w:pPr>
        <w:spacing w:after="240" w:before="240" w:line="480" w:lineRule="auto"/>
        <w:jc w:val="both"/>
        <w:rPr>
          <w:color w:val="0e101a"/>
        </w:rPr>
      </w:pPr>
      <w:r w:rsidDel="00000000" w:rsidR="00000000" w:rsidRPr="00000000">
        <w:rPr>
          <w:b w:val="1"/>
          <w:color w:val="0e101a"/>
          <w:rtl w:val="0"/>
        </w:rPr>
        <w:t xml:space="preserve">Specification gaps</w:t>
      </w:r>
      <w:r w:rsidDel="00000000" w:rsidR="00000000" w:rsidRPr="00000000">
        <w:rPr>
          <w:color w:val="0e101a"/>
          <w:rtl w:val="0"/>
        </w:rPr>
        <w:t xml:space="preserve">: The absence of performance metrics, display resolution requirements and peripheral compatibility standards meant assumptions had to be made. Durham and Michel (2021) argue that such requirements should be "knowable before development starts", suggesting more rigorous initial analysis could have prevented these gaps.</w:t>
      </w:r>
    </w:p>
    <w:p w:rsidR="00000000" w:rsidDel="00000000" w:rsidP="00000000" w:rsidRDefault="00000000" w:rsidRPr="00000000" w14:paraId="0000000A">
      <w:pPr>
        <w:spacing w:after="240" w:before="240" w:line="480" w:lineRule="auto"/>
        <w:jc w:val="both"/>
        <w:rPr>
          <w:color w:val="0e101a"/>
        </w:rPr>
      </w:pPr>
      <w:r w:rsidDel="00000000" w:rsidR="00000000" w:rsidRPr="00000000">
        <w:rPr>
          <w:b w:val="1"/>
          <w:color w:val="0e101a"/>
          <w:rtl w:val="0"/>
        </w:rPr>
        <w:t xml:space="preserve">Post-agreement scope expansion</w:t>
      </w:r>
      <w:r w:rsidDel="00000000" w:rsidR="00000000" w:rsidRPr="00000000">
        <w:rPr>
          <w:color w:val="0e101a"/>
          <w:rtl w:val="0"/>
        </w:rPr>
        <w:t xml:space="preserve">: EDC expanded requirements after the initial price agreement, creating challenges that justify a price renegotiation.</w:t>
      </w:r>
    </w:p>
    <w:p w:rsidR="00000000" w:rsidDel="00000000" w:rsidP="00000000" w:rsidRDefault="00000000" w:rsidRPr="00000000" w14:paraId="0000000B">
      <w:pPr>
        <w:spacing w:after="240" w:before="240" w:line="480" w:lineRule="auto"/>
        <w:jc w:val="both"/>
        <w:rPr>
          <w:color w:val="0e101a"/>
        </w:rPr>
      </w:pPr>
      <w:r w:rsidDel="00000000" w:rsidR="00000000" w:rsidRPr="00000000">
        <w:rPr>
          <w:color w:val="0e101a"/>
          <w:rtl w:val="0"/>
        </w:rPr>
        <w:t xml:space="preserve">A requirements table prioritising features and identifying dependencies was created to address these issues (Appendix 1). Based on this, a desktop system with a 68000 CPU, 512KB RAM and dual operating systems (HB/OS and MccOS with TeleBASIC) is recommended. This configuration balances EDC's expanded requirements with commercial viability.</w:t>
      </w:r>
    </w:p>
    <w:p w:rsidR="00000000" w:rsidDel="00000000" w:rsidP="00000000" w:rsidRDefault="00000000" w:rsidRPr="00000000" w14:paraId="0000000C">
      <w:pPr>
        <w:pStyle w:val="Heading1"/>
        <w:keepNext w:val="0"/>
        <w:keepLines w:val="0"/>
        <w:spacing w:after="80" w:line="480" w:lineRule="auto"/>
        <w:jc w:val="both"/>
        <w:rPr/>
      </w:pPr>
      <w:bookmarkStart w:colFirst="0" w:colLast="0" w:name="_pwdzgrvsrtum" w:id="2"/>
      <w:bookmarkEnd w:id="2"/>
      <w:r w:rsidDel="00000000" w:rsidR="00000000" w:rsidRPr="00000000">
        <w:rPr>
          <w:rtl w:val="0"/>
        </w:rPr>
        <w:t xml:space="preserve">Costed Plan</w:t>
      </w:r>
    </w:p>
    <w:p w:rsidR="00000000" w:rsidDel="00000000" w:rsidP="00000000" w:rsidRDefault="00000000" w:rsidRPr="00000000" w14:paraId="0000000D">
      <w:pPr>
        <w:spacing w:after="240" w:before="240" w:line="480" w:lineRule="auto"/>
        <w:jc w:val="both"/>
        <w:rPr>
          <w:color w:val="0e101a"/>
        </w:rPr>
      </w:pPr>
      <w:r w:rsidDel="00000000" w:rsidR="00000000" w:rsidRPr="00000000">
        <w:rPr>
          <w:color w:val="0e101a"/>
          <w:rtl w:val="0"/>
        </w:rPr>
        <w:t xml:space="preserve">The project will follow an Agile approach with three phases. Development costs of £259,958 and production costs of £756,000 bring the total cost to £1,015,958. The production target is 2,800 units, 2,000 of which are for EDC and 800 are for commercial sale.</w:t>
      </w:r>
    </w:p>
    <w:p w:rsidR="00000000" w:rsidDel="00000000" w:rsidP="00000000" w:rsidRDefault="00000000" w:rsidRPr="00000000" w14:paraId="0000000E">
      <w:pPr>
        <w:spacing w:after="240" w:before="240" w:line="480" w:lineRule="auto"/>
        <w:jc w:val="both"/>
        <w:rPr>
          <w:color w:val="0e101a"/>
        </w:rPr>
      </w:pPr>
      <w:r w:rsidDel="00000000" w:rsidR="00000000" w:rsidRPr="00000000">
        <w:rPr>
          <w:b w:val="1"/>
          <w:color w:val="0e101a"/>
          <w:rtl w:val="0"/>
        </w:rPr>
        <w:t xml:space="preserve">Phase 1: (Dec 1982 - Feb 1983)</w:t>
      </w:r>
      <w:r w:rsidDel="00000000" w:rsidR="00000000" w:rsidRPr="00000000">
        <w:rPr>
          <w:color w:val="0e101a"/>
          <w:rtl w:val="0"/>
        </w:rPr>
        <w:t xml:space="preserve"> This phase uses six two-week sprints for architecture definition and planning. Resource allocation of £60,950 covers design, sourcing and management (Appendix 3). Design validation testing will be integrated throughout this phase, following Abdel-Aty et al.'s (2022) principle that "accurate estimation of interface development complexity is fundamental for project success".</w:t>
      </w:r>
    </w:p>
    <w:p w:rsidR="00000000" w:rsidDel="00000000" w:rsidP="00000000" w:rsidRDefault="00000000" w:rsidRPr="00000000" w14:paraId="0000000F">
      <w:pPr>
        <w:spacing w:after="240" w:before="240" w:line="480" w:lineRule="auto"/>
        <w:jc w:val="both"/>
        <w:rPr>
          <w:color w:val="0e101a"/>
        </w:rPr>
      </w:pPr>
      <w:r w:rsidDel="00000000" w:rsidR="00000000" w:rsidRPr="00000000">
        <w:rPr>
          <w:b w:val="1"/>
          <w:color w:val="0e101a"/>
          <w:rtl w:val="0"/>
        </w:rPr>
        <w:t xml:space="preserve">Phase 2: (Mar - Jul 1983)</w:t>
      </w:r>
      <w:r w:rsidDel="00000000" w:rsidR="00000000" w:rsidRPr="00000000">
        <w:rPr>
          <w:color w:val="0e101a"/>
          <w:rtl w:val="0"/>
        </w:rPr>
        <w:t xml:space="preserve"> Spanning ten two-week sprints, this phase delivers incremental hardware and software prototypes. Budget allocation of £130,784 supports construction and testing (Appendix 4). Unit, integration and system testing will validate each sprint's deliverables against the Gherkin specifications, addressing what Behave (2020) identifies as critical communication failures in traditional development approaches.</w:t>
      </w:r>
    </w:p>
    <w:p w:rsidR="00000000" w:rsidDel="00000000" w:rsidP="00000000" w:rsidRDefault="00000000" w:rsidRPr="00000000" w14:paraId="00000010">
      <w:pPr>
        <w:spacing w:after="240" w:before="240" w:line="480" w:lineRule="auto"/>
        <w:jc w:val="both"/>
        <w:rPr>
          <w:color w:val="0e101a"/>
        </w:rPr>
      </w:pPr>
      <w:r w:rsidDel="00000000" w:rsidR="00000000" w:rsidRPr="00000000">
        <w:rPr>
          <w:b w:val="1"/>
          <w:color w:val="0e101a"/>
          <w:rtl w:val="0"/>
        </w:rPr>
        <w:t xml:space="preserve">Phase 3: (Aug - Dec 1983)</w:t>
      </w:r>
      <w:r w:rsidDel="00000000" w:rsidR="00000000" w:rsidRPr="00000000">
        <w:rPr>
          <w:color w:val="0e101a"/>
          <w:rtl w:val="0"/>
        </w:rPr>
        <w:t xml:space="preserve"> The final phase focuses on manufacturing setup and production of 2,800 units: 2,000 for EDC, and 800 for commercial sale. Resource allocation of £68,224 covers production setup and delivery (Appendix 5). QA testing occurs at key production milestones.</w:t>
      </w:r>
    </w:p>
    <w:p w:rsidR="00000000" w:rsidDel="00000000" w:rsidP="00000000" w:rsidRDefault="00000000" w:rsidRPr="00000000" w14:paraId="00000011">
      <w:pPr>
        <w:spacing w:after="240" w:before="240" w:line="480" w:lineRule="auto"/>
        <w:jc w:val="both"/>
        <w:rPr>
          <w:color w:val="0e101a"/>
        </w:rPr>
      </w:pPr>
      <w:r w:rsidDel="00000000" w:rsidR="00000000" w:rsidRPr="00000000">
        <w:rPr>
          <w:b w:val="1"/>
          <w:color w:val="0e101a"/>
          <w:rtl w:val="0"/>
        </w:rPr>
        <w:t xml:space="preserve">Unit Costing and Pricing Strategy:</w:t>
      </w:r>
      <w:r w:rsidDel="00000000" w:rsidR="00000000" w:rsidRPr="00000000">
        <w:rPr>
          <w:color w:val="0e101a"/>
          <w:rtl w:val="0"/>
        </w:rPr>
        <w:t xml:space="preserve"> Each Synputer costs £270 to produce (Appendix 2).</w:t>
      </w:r>
    </w:p>
    <w:p w:rsidR="00000000" w:rsidDel="00000000" w:rsidP="00000000" w:rsidRDefault="00000000" w:rsidRPr="00000000" w14:paraId="00000012">
      <w:pPr>
        <w:spacing w:after="240" w:before="240" w:line="480" w:lineRule="auto"/>
        <w:jc w:val="both"/>
        <w:rPr>
          <w:color w:val="0e101a"/>
        </w:rPr>
      </w:pPr>
      <w:r w:rsidDel="00000000" w:rsidR="00000000" w:rsidRPr="00000000">
        <w:rPr>
          <w:color w:val="0e101a"/>
          <w:rtl w:val="0"/>
        </w:rPr>
        <w:t xml:space="preserve">The EDC contract should be renegotiated to £275 per unit (from £250), justified by expanded requirements. Commercial units will sell at the advertised £399.99, providing a £129.99 margin for manufacturing costs and profit.</w:t>
      </w:r>
    </w:p>
    <w:p w:rsidR="00000000" w:rsidDel="00000000" w:rsidP="00000000" w:rsidRDefault="00000000" w:rsidRPr="00000000" w14:paraId="00000013">
      <w:pPr>
        <w:spacing w:after="240" w:before="240" w:line="480" w:lineRule="auto"/>
        <w:jc w:val="both"/>
        <w:rPr>
          <w:color w:val="0e101a"/>
        </w:rPr>
      </w:pPr>
      <w:r w:rsidDel="00000000" w:rsidR="00000000" w:rsidRPr="00000000">
        <w:rPr>
          <w:b w:val="1"/>
          <w:color w:val="0e101a"/>
          <w:rtl w:val="0"/>
        </w:rPr>
        <w:t xml:space="preserve">Financial Projection:</w:t>
      </w:r>
      <w:r w:rsidDel="00000000" w:rsidR="00000000" w:rsidRPr="00000000">
        <w:rPr>
          <w:color w:val="0e101a"/>
          <w:rtl w:val="0"/>
        </w:rPr>
        <w:t xml:space="preserve"> The project maintains positive cash flow through phasing of development and production. Strategies include:</w:t>
      </w:r>
    </w:p>
    <w:p w:rsidR="00000000" w:rsidDel="00000000" w:rsidP="00000000" w:rsidRDefault="00000000" w:rsidRPr="00000000" w14:paraId="00000014">
      <w:pPr>
        <w:numPr>
          <w:ilvl w:val="0"/>
          <w:numId w:val="2"/>
        </w:numPr>
        <w:spacing w:after="0" w:afterAutospacing="0" w:before="240" w:line="480" w:lineRule="auto"/>
        <w:ind w:left="720" w:hanging="360"/>
        <w:rPr>
          <w:color w:val="0e101a"/>
        </w:rPr>
      </w:pPr>
      <w:r w:rsidDel="00000000" w:rsidR="00000000" w:rsidRPr="00000000">
        <w:rPr>
          <w:color w:val="0e101a"/>
          <w:rtl w:val="0"/>
        </w:rPr>
        <w:t xml:space="preserve">Securing a 25% deposit (£137,500) from EDC</w:t>
      </w:r>
    </w:p>
    <w:p w:rsidR="00000000" w:rsidDel="00000000" w:rsidP="00000000" w:rsidRDefault="00000000" w:rsidRPr="00000000" w14:paraId="00000015">
      <w:pPr>
        <w:numPr>
          <w:ilvl w:val="0"/>
          <w:numId w:val="2"/>
        </w:numPr>
        <w:spacing w:after="0" w:afterAutospacing="0" w:before="0" w:beforeAutospacing="0" w:line="480" w:lineRule="auto"/>
        <w:ind w:left="720" w:hanging="360"/>
        <w:rPr>
          <w:color w:val="0e101a"/>
        </w:rPr>
      </w:pPr>
      <w:r w:rsidDel="00000000" w:rsidR="00000000" w:rsidRPr="00000000">
        <w:rPr>
          <w:color w:val="0e101a"/>
          <w:rtl w:val="0"/>
        </w:rPr>
        <w:t xml:space="preserve">Prioritising 800 commercial units for early cash generation</w:t>
      </w:r>
    </w:p>
    <w:p w:rsidR="00000000" w:rsidDel="00000000" w:rsidP="00000000" w:rsidRDefault="00000000" w:rsidRPr="00000000" w14:paraId="00000016">
      <w:pPr>
        <w:numPr>
          <w:ilvl w:val="0"/>
          <w:numId w:val="2"/>
        </w:numPr>
        <w:spacing w:after="0" w:afterAutospacing="0" w:before="0" w:beforeAutospacing="0" w:line="480" w:lineRule="auto"/>
        <w:ind w:left="720" w:hanging="360"/>
        <w:rPr>
          <w:color w:val="0e101a"/>
        </w:rPr>
      </w:pPr>
      <w:r w:rsidDel="00000000" w:rsidR="00000000" w:rsidRPr="00000000">
        <w:rPr>
          <w:color w:val="0e101a"/>
          <w:rtl w:val="0"/>
        </w:rPr>
        <w:t xml:space="preserve">Delivering EDC units in batches</w:t>
      </w:r>
    </w:p>
    <w:p w:rsidR="00000000" w:rsidDel="00000000" w:rsidP="00000000" w:rsidRDefault="00000000" w:rsidRPr="00000000" w14:paraId="00000017">
      <w:pPr>
        <w:numPr>
          <w:ilvl w:val="0"/>
          <w:numId w:val="2"/>
        </w:numPr>
        <w:spacing w:after="240" w:before="0" w:beforeAutospacing="0" w:line="480" w:lineRule="auto"/>
        <w:ind w:left="720" w:hanging="360"/>
        <w:rPr>
          <w:color w:val="0e101a"/>
        </w:rPr>
      </w:pPr>
      <w:r w:rsidDel="00000000" w:rsidR="00000000" w:rsidRPr="00000000">
        <w:rPr>
          <w:color w:val="0e101a"/>
          <w:rtl w:val="0"/>
        </w:rPr>
        <w:t xml:space="preserve">Strict cost controls</w:t>
      </w:r>
    </w:p>
    <w:p w:rsidR="00000000" w:rsidDel="00000000" w:rsidP="00000000" w:rsidRDefault="00000000" w:rsidRPr="00000000" w14:paraId="00000018">
      <w:pPr>
        <w:spacing w:after="240" w:before="240" w:line="480" w:lineRule="auto"/>
        <w:jc w:val="both"/>
        <w:rPr>
          <w:color w:val="0e101a"/>
        </w:rPr>
      </w:pPr>
      <w:r w:rsidDel="00000000" w:rsidR="00000000" w:rsidRPr="00000000">
        <w:rPr>
          <w:color w:val="0e101a"/>
          <w:rtl w:val="0"/>
        </w:rPr>
        <w:t xml:space="preserve">This approach yields a final balance of £491,534, providing a buffer for expenses while meeting all contractual obligations. This aligns with Vidoni et al.'s (2022) perspective that project planning should balance immediate needs against long-term sustainability.</w:t>
      </w:r>
    </w:p>
    <w:p w:rsidR="00000000" w:rsidDel="00000000" w:rsidP="00000000" w:rsidRDefault="00000000" w:rsidRPr="00000000" w14:paraId="00000019">
      <w:pPr>
        <w:pStyle w:val="Heading1"/>
        <w:spacing w:line="480" w:lineRule="auto"/>
        <w:jc w:val="both"/>
        <w:rPr/>
      </w:pPr>
      <w:bookmarkStart w:colFirst="0" w:colLast="0" w:name="_847y4ctssn4x" w:id="3"/>
      <w:bookmarkEnd w:id="3"/>
      <w:r w:rsidDel="00000000" w:rsidR="00000000" w:rsidRPr="00000000">
        <w:rPr>
          <w:rtl w:val="0"/>
        </w:rPr>
        <w:t xml:space="preserve">Gherkin Specifications</w:t>
      </w:r>
    </w:p>
    <w:p w:rsidR="00000000" w:rsidDel="00000000" w:rsidP="00000000" w:rsidRDefault="00000000" w:rsidRPr="00000000" w14:paraId="0000001A">
      <w:pPr>
        <w:spacing w:after="240" w:before="240" w:line="480" w:lineRule="auto"/>
        <w:rPr/>
      </w:pPr>
      <w:r w:rsidDel="00000000" w:rsidR="00000000" w:rsidRPr="00000000">
        <w:rPr>
          <w:rtl w:val="0"/>
        </w:rPr>
        <w:t xml:space="preserve">For the project, Gherkin specifications were created that captured the key needs. These specifications follow the guidance from Behave (2020) in order to ensure that they fit with Gherkin industry standards.  </w:t>
      </w:r>
    </w:p>
    <w:p w:rsidR="00000000" w:rsidDel="00000000" w:rsidP="00000000" w:rsidRDefault="00000000" w:rsidRPr="00000000" w14:paraId="0000001B">
      <w:pPr>
        <w:spacing w:after="240" w:before="240" w:line="480" w:lineRule="auto"/>
        <w:rPr/>
      </w:pPr>
      <w:r w:rsidDel="00000000" w:rsidR="00000000" w:rsidRPr="00000000">
        <w:rPr>
          <w:rtl w:val="0"/>
        </w:rPr>
        <w:t xml:space="preserve">These specifications fell into three main categories: powering the machine, accessing and using applications and using peripherals (Appendix 7). These three categories were chosen as they encompassed the main uses of the machine as outlined in the case study. For example, two of the Gherkin specifications focus on the idea of connecting and disconnecting a Joystick from the system as this was a feature within the case study that would work in conjunction with the emulation features.  </w:t>
      </w:r>
    </w:p>
    <w:p w:rsidR="00000000" w:rsidDel="00000000" w:rsidP="00000000" w:rsidRDefault="00000000" w:rsidRPr="00000000" w14:paraId="0000001C">
      <w:pPr>
        <w:spacing w:after="240" w:before="240" w:line="480" w:lineRule="auto"/>
        <w:rPr/>
      </w:pPr>
      <w:r w:rsidDel="00000000" w:rsidR="00000000" w:rsidRPr="00000000">
        <w:rPr>
          <w:rtl w:val="0"/>
        </w:rPr>
        <w:t xml:space="preserve">With the Gherkin specifications written, this will aid in the automation of testing and ensure that all teams will have a shared understanding of the role of features within the machine and their capabilities.</w:t>
      </w:r>
    </w:p>
    <w:p w:rsidR="00000000" w:rsidDel="00000000" w:rsidP="00000000" w:rsidRDefault="00000000" w:rsidRPr="00000000" w14:paraId="0000001D">
      <w:pPr>
        <w:pStyle w:val="Heading1"/>
        <w:spacing w:line="480" w:lineRule="auto"/>
        <w:jc w:val="both"/>
        <w:rPr/>
      </w:pPr>
      <w:bookmarkStart w:colFirst="0" w:colLast="0" w:name="_98q7h2p17bu3" w:id="4"/>
      <w:bookmarkEnd w:id="4"/>
      <w:r w:rsidDel="00000000" w:rsidR="00000000" w:rsidRPr="00000000">
        <w:rPr>
          <w:rtl w:val="0"/>
        </w:rPr>
        <w:t xml:space="preserve">Methodology</w:t>
      </w:r>
    </w:p>
    <w:p w:rsidR="00000000" w:rsidDel="00000000" w:rsidP="00000000" w:rsidRDefault="00000000" w:rsidRPr="00000000" w14:paraId="0000001E">
      <w:pPr>
        <w:spacing w:line="480" w:lineRule="auto"/>
        <w:jc w:val="both"/>
        <w:rPr/>
      </w:pPr>
      <w:r w:rsidDel="00000000" w:rsidR="00000000" w:rsidRPr="00000000">
        <w:rPr>
          <w:rtl w:val="0"/>
        </w:rPr>
        <w:t xml:space="preserve">An agile methodology will be adopted for both software and hardware development. Agile offers flexibility, rapid iterations, and continuous stakeholder collaboration (Harned, 2018). These are crucial for a project with evolving requirements and a tight 13-month timeline (Harned, 2018).</w:t>
      </w:r>
    </w:p>
    <w:p w:rsidR="00000000" w:rsidDel="00000000" w:rsidP="00000000" w:rsidRDefault="00000000" w:rsidRPr="00000000" w14:paraId="0000001F">
      <w:pPr>
        <w:spacing w:line="480" w:lineRule="auto"/>
        <w:jc w:val="both"/>
        <w:rPr/>
      </w:pPr>
      <w:r w:rsidDel="00000000" w:rsidR="00000000" w:rsidRPr="00000000">
        <w:rPr>
          <w:b w:val="1"/>
          <w:rtl w:val="0"/>
        </w:rPr>
        <w:t xml:space="preserve">Flexibility in Design</w:t>
      </w:r>
      <w:r w:rsidDel="00000000" w:rsidR="00000000" w:rsidRPr="00000000">
        <w:rPr>
          <w:rtl w:val="0"/>
        </w:rPr>
        <w:t xml:space="preserve"> - The initial requirements gathered from the transcript suggest areas of uncertainty, such as:</w:t>
      </w:r>
    </w:p>
    <w:p w:rsidR="00000000" w:rsidDel="00000000" w:rsidP="00000000" w:rsidRDefault="00000000" w:rsidRPr="00000000" w14:paraId="00000020">
      <w:pPr>
        <w:numPr>
          <w:ilvl w:val="0"/>
          <w:numId w:val="1"/>
        </w:numPr>
        <w:spacing w:line="480" w:lineRule="auto"/>
        <w:ind w:left="720" w:hanging="360"/>
        <w:jc w:val="both"/>
        <w:rPr>
          <w:u w:val="none"/>
        </w:rPr>
      </w:pPr>
      <w:r w:rsidDel="00000000" w:rsidR="00000000" w:rsidRPr="00000000">
        <w:rPr>
          <w:rtl w:val="0"/>
        </w:rPr>
        <w:t xml:space="preserve">storage medium choices</w:t>
      </w:r>
    </w:p>
    <w:p w:rsidR="00000000" w:rsidDel="00000000" w:rsidP="00000000" w:rsidRDefault="00000000" w:rsidRPr="00000000" w14:paraId="00000021">
      <w:pPr>
        <w:numPr>
          <w:ilvl w:val="0"/>
          <w:numId w:val="1"/>
        </w:numPr>
        <w:spacing w:line="480" w:lineRule="auto"/>
        <w:ind w:left="720" w:hanging="360"/>
        <w:jc w:val="both"/>
        <w:rPr>
          <w:u w:val="none"/>
        </w:rPr>
      </w:pPr>
      <w:r w:rsidDel="00000000" w:rsidR="00000000" w:rsidRPr="00000000">
        <w:rPr>
          <w:rtl w:val="0"/>
        </w:rPr>
        <w:t xml:space="preserve">software compatibility</w:t>
      </w:r>
    </w:p>
    <w:p w:rsidR="00000000" w:rsidDel="00000000" w:rsidP="00000000" w:rsidRDefault="00000000" w:rsidRPr="00000000" w14:paraId="00000022">
      <w:pPr>
        <w:numPr>
          <w:ilvl w:val="0"/>
          <w:numId w:val="1"/>
        </w:numPr>
        <w:spacing w:line="480" w:lineRule="auto"/>
        <w:ind w:left="720" w:hanging="360"/>
        <w:jc w:val="both"/>
        <w:rPr>
          <w:u w:val="none"/>
        </w:rPr>
      </w:pPr>
      <w:r w:rsidDel="00000000" w:rsidR="00000000" w:rsidRPr="00000000">
        <w:rPr>
          <w:rtl w:val="0"/>
        </w:rPr>
        <w:t xml:space="preserve">peripheral connectivity</w:t>
      </w:r>
    </w:p>
    <w:p w:rsidR="00000000" w:rsidDel="00000000" w:rsidP="00000000" w:rsidRDefault="00000000" w:rsidRPr="00000000" w14:paraId="00000023">
      <w:pPr>
        <w:spacing w:line="480" w:lineRule="auto"/>
        <w:jc w:val="both"/>
        <w:rPr/>
      </w:pPr>
      <w:r w:rsidDel="00000000" w:rsidR="00000000" w:rsidRPr="00000000">
        <w:rPr>
          <w:rtl w:val="0"/>
        </w:rPr>
      </w:r>
    </w:p>
    <w:p w:rsidR="00000000" w:rsidDel="00000000" w:rsidP="00000000" w:rsidRDefault="00000000" w:rsidRPr="00000000" w14:paraId="00000024">
      <w:pPr>
        <w:spacing w:line="480" w:lineRule="auto"/>
        <w:jc w:val="both"/>
        <w:rPr/>
      </w:pPr>
      <w:r w:rsidDel="00000000" w:rsidR="00000000" w:rsidRPr="00000000">
        <w:rPr>
          <w:rtl w:val="0"/>
        </w:rPr>
        <w:t xml:space="preserve">Therefore, adopting an agile approach allows incremental refinements based on testing and feedback (Hooda, 2023).</w:t>
      </w:r>
    </w:p>
    <w:p w:rsidR="00000000" w:rsidDel="00000000" w:rsidP="00000000" w:rsidRDefault="00000000" w:rsidRPr="00000000" w14:paraId="00000025">
      <w:pPr>
        <w:spacing w:line="480" w:lineRule="auto"/>
        <w:jc w:val="both"/>
        <w:rPr/>
      </w:pPr>
      <w:r w:rsidDel="00000000" w:rsidR="00000000" w:rsidRPr="00000000">
        <w:rPr>
          <w:rtl w:val="0"/>
        </w:rPr>
      </w:r>
    </w:p>
    <w:p w:rsidR="00000000" w:rsidDel="00000000" w:rsidP="00000000" w:rsidRDefault="00000000" w:rsidRPr="00000000" w14:paraId="00000026">
      <w:pPr>
        <w:spacing w:line="480" w:lineRule="auto"/>
        <w:jc w:val="both"/>
        <w:rPr/>
      </w:pPr>
      <w:r w:rsidDel="00000000" w:rsidR="00000000" w:rsidRPr="00000000">
        <w:rPr>
          <w:b w:val="1"/>
          <w:rtl w:val="0"/>
        </w:rPr>
        <w:t xml:space="preserve">Risk Mitigation </w:t>
      </w:r>
      <w:r w:rsidDel="00000000" w:rsidR="00000000" w:rsidRPr="00000000">
        <w:rPr>
          <w:rtl w:val="0"/>
        </w:rPr>
        <w:t xml:space="preserve">- By delivering working prototypes in iterative cycles, issues such as hardware-software integration problems can be detected early (Hooda, 2023). Ultimately, aiding in mitigating costly late-stage failures (Hooda, 2023).</w:t>
      </w:r>
    </w:p>
    <w:p w:rsidR="00000000" w:rsidDel="00000000" w:rsidP="00000000" w:rsidRDefault="00000000" w:rsidRPr="00000000" w14:paraId="00000027">
      <w:pPr>
        <w:spacing w:line="480" w:lineRule="auto"/>
        <w:jc w:val="both"/>
        <w:rPr/>
      </w:pPr>
      <w:r w:rsidDel="00000000" w:rsidR="00000000" w:rsidRPr="00000000">
        <w:rPr>
          <w:rtl w:val="0"/>
        </w:rPr>
      </w:r>
    </w:p>
    <w:p w:rsidR="00000000" w:rsidDel="00000000" w:rsidP="00000000" w:rsidRDefault="00000000" w:rsidRPr="00000000" w14:paraId="00000028">
      <w:pPr>
        <w:spacing w:line="480" w:lineRule="auto"/>
        <w:jc w:val="both"/>
        <w:rPr/>
      </w:pPr>
      <w:r w:rsidDel="00000000" w:rsidR="00000000" w:rsidRPr="00000000">
        <w:rPr>
          <w:b w:val="1"/>
          <w:rtl w:val="0"/>
        </w:rPr>
        <w:t xml:space="preserve">Stakeholder Involvement</w:t>
      </w:r>
      <w:r w:rsidDel="00000000" w:rsidR="00000000" w:rsidRPr="00000000">
        <w:rPr>
          <w:rtl w:val="0"/>
        </w:rPr>
        <w:t xml:space="preserve"> - Continuous engagement with EDC and suppliers ensures requirements are met while avoiding costly rework (Dugbartey and Kehinde, 2025).</w:t>
      </w:r>
    </w:p>
    <w:p w:rsidR="00000000" w:rsidDel="00000000" w:rsidP="00000000" w:rsidRDefault="00000000" w:rsidRPr="00000000" w14:paraId="00000029">
      <w:pPr>
        <w:pStyle w:val="Heading1"/>
        <w:spacing w:line="480" w:lineRule="auto"/>
        <w:jc w:val="both"/>
        <w:rPr/>
      </w:pPr>
      <w:bookmarkStart w:colFirst="0" w:colLast="0" w:name="_a7uxvz5g9ft6" w:id="5"/>
      <w:bookmarkEnd w:id="5"/>
      <w:r w:rsidDel="00000000" w:rsidR="00000000" w:rsidRPr="00000000">
        <w:rPr>
          <w:rtl w:val="0"/>
        </w:rPr>
        <w:t xml:space="preserve">Testing</w:t>
      </w:r>
    </w:p>
    <w:p w:rsidR="00000000" w:rsidDel="00000000" w:rsidP="00000000" w:rsidRDefault="00000000" w:rsidRPr="00000000" w14:paraId="0000002A">
      <w:pPr>
        <w:spacing w:line="480" w:lineRule="auto"/>
        <w:ind w:left="0" w:firstLine="0"/>
        <w:jc w:val="both"/>
        <w:rPr/>
      </w:pPr>
      <w:r w:rsidDel="00000000" w:rsidR="00000000" w:rsidRPr="00000000">
        <w:rPr>
          <w:rtl w:val="0"/>
        </w:rPr>
        <w:t xml:space="preserve">Testing plays a critical role in ensuring the Synputer meets functional, performance, and user requirements. Following the Agile methodology, testing will be integrated into each two-week sprint. All testing will be conducted in-house by every employee assigned to the project, fostering a collaborative approach and leveraging collective expertise (Appendix 6).</w:t>
      </w:r>
    </w:p>
    <w:p w:rsidR="00000000" w:rsidDel="00000000" w:rsidP="00000000" w:rsidRDefault="00000000" w:rsidRPr="00000000" w14:paraId="0000002B">
      <w:pPr>
        <w:pStyle w:val="Heading1"/>
        <w:spacing w:line="480" w:lineRule="auto"/>
        <w:jc w:val="both"/>
        <w:rPr/>
      </w:pPr>
      <w:bookmarkStart w:colFirst="0" w:colLast="0" w:name="_y10txz4xivu9" w:id="6"/>
      <w:bookmarkEnd w:id="6"/>
      <w:r w:rsidDel="00000000" w:rsidR="00000000" w:rsidRPr="00000000">
        <w:rPr>
          <w:rtl w:val="0"/>
        </w:rPr>
        <w:t xml:space="preserve">Conclusion</w:t>
      </w:r>
    </w:p>
    <w:p w:rsidR="00000000" w:rsidDel="00000000" w:rsidP="00000000" w:rsidRDefault="00000000" w:rsidRPr="00000000" w14:paraId="0000002C">
      <w:pPr>
        <w:spacing w:line="480" w:lineRule="auto"/>
        <w:jc w:val="both"/>
        <w:rPr/>
      </w:pPr>
      <w:r w:rsidDel="00000000" w:rsidR="00000000" w:rsidRPr="00000000">
        <w:rPr>
          <w:rtl w:val="0"/>
        </w:rPr>
        <w:t xml:space="preserve">This project plan outlines a structured and Agile-driven approach to developing the Synputer, ensuring that all key aspects—from requirement analysis to testing—are effectively managed. A costed project plan ensures financial feasibility, balancing affordability with high-quality production. The testing plan guarantees a robust, reliable product. With a well-defined scope, structured development approach, and comprehensive testing, this plan sets a solid foundation for delivering a commercially viable, technically sound personal computer suited to the evolving 1980s market.</w:t>
      </w:r>
    </w:p>
    <w:p w:rsidR="00000000" w:rsidDel="00000000" w:rsidP="00000000" w:rsidRDefault="00000000" w:rsidRPr="00000000" w14:paraId="0000002D">
      <w:pPr>
        <w:spacing w:line="480" w:lineRule="auto"/>
        <w:jc w:val="both"/>
        <w:rPr/>
      </w:pPr>
      <w:r w:rsidDel="00000000" w:rsidR="00000000" w:rsidRPr="00000000">
        <w:rPr>
          <w:rtl w:val="0"/>
        </w:rPr>
      </w:r>
    </w:p>
    <w:p w:rsidR="00000000" w:rsidDel="00000000" w:rsidP="00000000" w:rsidRDefault="00000000" w:rsidRPr="00000000" w14:paraId="0000002E">
      <w:pPr>
        <w:pStyle w:val="Heading1"/>
        <w:spacing w:line="480" w:lineRule="auto"/>
        <w:jc w:val="both"/>
        <w:rPr/>
      </w:pPr>
      <w:bookmarkStart w:colFirst="0" w:colLast="0" w:name="_e3axzuwkwyzv" w:id="7"/>
      <w:bookmarkEnd w:id="7"/>
      <w:r w:rsidDel="00000000" w:rsidR="00000000" w:rsidRPr="00000000">
        <w:rPr>
          <w:rtl w:val="0"/>
        </w:rPr>
        <w:t xml:space="preserve">References</w:t>
      </w:r>
    </w:p>
    <w:p w:rsidR="00000000" w:rsidDel="00000000" w:rsidP="00000000" w:rsidRDefault="00000000" w:rsidRPr="00000000" w14:paraId="0000002F">
      <w:pPr>
        <w:spacing w:after="240" w:before="240" w:line="480" w:lineRule="auto"/>
        <w:rPr/>
      </w:pPr>
      <w:r w:rsidDel="00000000" w:rsidR="00000000" w:rsidRPr="00000000">
        <w:rPr>
          <w:rtl w:val="0"/>
        </w:rPr>
        <w:t xml:space="preserve">Abdel-Aty, M. et al. (2022) ‘Investigating the Effects of Pedestrian-to-Vehicle Human–Machine Interface Design Using Driving Simulator Experiment’, </w:t>
      </w:r>
      <w:r w:rsidDel="00000000" w:rsidR="00000000" w:rsidRPr="00000000">
        <w:rPr>
          <w:i w:val="1"/>
          <w:rtl w:val="0"/>
        </w:rPr>
        <w:t xml:space="preserve">Transportation Research Record</w:t>
      </w:r>
      <w:r w:rsidDel="00000000" w:rsidR="00000000" w:rsidRPr="00000000">
        <w:rPr>
          <w:rtl w:val="0"/>
        </w:rPr>
        <w:t xml:space="preserve">, 2676(11), pp. 30-43.</w:t>
      </w:r>
    </w:p>
    <w:p w:rsidR="00000000" w:rsidDel="00000000" w:rsidP="00000000" w:rsidRDefault="00000000" w:rsidRPr="00000000" w14:paraId="00000030">
      <w:pPr>
        <w:spacing w:after="240" w:before="240" w:line="480" w:lineRule="auto"/>
        <w:rPr/>
      </w:pPr>
      <w:r w:rsidDel="00000000" w:rsidR="00000000" w:rsidRPr="00000000">
        <w:rPr>
          <w:rtl w:val="0"/>
        </w:rPr>
        <w:t xml:space="preserve">Behave (2020) </w:t>
      </w:r>
      <w:r w:rsidDel="00000000" w:rsidR="00000000" w:rsidRPr="00000000">
        <w:rPr>
          <w:i w:val="1"/>
          <w:rtl w:val="0"/>
        </w:rPr>
        <w:t xml:space="preserve">Behaviour Driven Development: The Gherkin Language. </w:t>
      </w:r>
      <w:r w:rsidDel="00000000" w:rsidR="00000000" w:rsidRPr="00000000">
        <w:rPr>
          <w:rtl w:val="0"/>
        </w:rPr>
        <w:t xml:space="preserve">Available at:</w:t>
      </w:r>
      <w:hyperlink r:id="rId6">
        <w:r w:rsidDel="00000000" w:rsidR="00000000" w:rsidRPr="00000000">
          <w:rPr>
            <w:rtl w:val="0"/>
          </w:rPr>
          <w:t xml:space="preserve"> </w:t>
        </w:r>
      </w:hyperlink>
      <w:hyperlink r:id="rId7">
        <w:r w:rsidDel="00000000" w:rsidR="00000000" w:rsidRPr="00000000">
          <w:rPr>
            <w:color w:val="1155cc"/>
            <w:u w:val="single"/>
            <w:rtl w:val="0"/>
          </w:rPr>
          <w:t xml:space="preserve">https://behave.readthedocs.io/en/stable/philosophy.html#the-gherkin-language</w:t>
        </w:r>
      </w:hyperlink>
      <w:r w:rsidDel="00000000" w:rsidR="00000000" w:rsidRPr="00000000">
        <w:rPr>
          <w:rtl w:val="0"/>
        </w:rPr>
        <w:t xml:space="preserve"> (Accessed: 9th March 2025).</w:t>
      </w:r>
    </w:p>
    <w:p w:rsidR="00000000" w:rsidDel="00000000" w:rsidP="00000000" w:rsidRDefault="00000000" w:rsidRPr="00000000" w14:paraId="00000031">
      <w:pPr>
        <w:spacing w:after="240" w:before="240" w:line="480" w:lineRule="auto"/>
        <w:jc w:val="both"/>
        <w:rPr/>
      </w:pPr>
      <w:r w:rsidDel="00000000" w:rsidR="00000000" w:rsidRPr="00000000">
        <w:rPr>
          <w:rtl w:val="0"/>
        </w:rPr>
        <w:t xml:space="preserve">Dugbartey, A. N. and Kehinde, O. (2025) ‘Optimizing project delivery through agile methodologies: Balancing speed, collaboration and stakeholder engagement’. World Journal of Advanced Research and Reviews, 2025, 25(01), 1237-1257. Available at: </w:t>
      </w:r>
      <w:hyperlink r:id="rId8">
        <w:r w:rsidDel="00000000" w:rsidR="00000000" w:rsidRPr="00000000">
          <w:rPr>
            <w:color w:val="1155cc"/>
            <w:u w:val="single"/>
            <w:rtl w:val="0"/>
          </w:rPr>
          <w:t xml:space="preserve">https://doi.org/10.30574/wjarr.2025.25.1.0193</w:t>
        </w:r>
      </w:hyperlink>
      <w:r w:rsidDel="00000000" w:rsidR="00000000" w:rsidRPr="00000000">
        <w:rPr>
          <w:rtl w:val="0"/>
        </w:rPr>
        <w:t xml:space="preserve">.</w:t>
      </w:r>
    </w:p>
    <w:p w:rsidR="00000000" w:rsidDel="00000000" w:rsidP="00000000" w:rsidRDefault="00000000" w:rsidRPr="00000000" w14:paraId="00000032">
      <w:pPr>
        <w:spacing w:after="240" w:before="240" w:line="480" w:lineRule="auto"/>
        <w:jc w:val="both"/>
        <w:rPr/>
      </w:pPr>
      <w:r w:rsidDel="00000000" w:rsidR="00000000" w:rsidRPr="00000000">
        <w:rPr>
          <w:rtl w:val="0"/>
        </w:rPr>
        <w:t xml:space="preserve">Durham, N. and Michel, L. (2021) </w:t>
      </w:r>
      <w:r w:rsidDel="00000000" w:rsidR="00000000" w:rsidRPr="00000000">
        <w:rPr>
          <w:i w:val="1"/>
          <w:rtl w:val="0"/>
        </w:rPr>
        <w:t xml:space="preserve">Lean Software Systems Engineering for Developers</w:t>
      </w:r>
      <w:r w:rsidDel="00000000" w:rsidR="00000000" w:rsidRPr="00000000">
        <w:rPr>
          <w:rtl w:val="0"/>
        </w:rPr>
        <w:t xml:space="preserve">. Packt.</w:t>
      </w:r>
    </w:p>
    <w:p w:rsidR="00000000" w:rsidDel="00000000" w:rsidP="00000000" w:rsidRDefault="00000000" w:rsidRPr="00000000" w14:paraId="00000033">
      <w:pPr>
        <w:spacing w:after="240" w:before="240" w:line="480" w:lineRule="auto"/>
        <w:jc w:val="both"/>
        <w:rPr/>
      </w:pPr>
      <w:r w:rsidDel="00000000" w:rsidR="00000000" w:rsidRPr="00000000">
        <w:rPr>
          <w:rtl w:val="0"/>
        </w:rPr>
        <w:t xml:space="preserve">Harned, D. (2018) ‘Hands-on agile software development with JIRA: design and manage software projects using Agile methodology (1st edition)’. Packt.</w:t>
      </w:r>
    </w:p>
    <w:p w:rsidR="00000000" w:rsidDel="00000000" w:rsidP="00000000" w:rsidRDefault="00000000" w:rsidRPr="00000000" w14:paraId="00000034">
      <w:pPr>
        <w:spacing w:line="480" w:lineRule="auto"/>
        <w:jc w:val="both"/>
        <w:rPr/>
      </w:pPr>
      <w:r w:rsidDel="00000000" w:rsidR="00000000" w:rsidRPr="00000000">
        <w:rPr>
          <w:rtl w:val="0"/>
        </w:rPr>
        <w:t xml:space="preserve">Hooda, S. (2023) ‘Agile software development: trends, challenges and applications’. John Wiley &amp; Sons.</w:t>
      </w:r>
      <w:hyperlink r:id="rId9">
        <w:r w:rsidDel="00000000" w:rsidR="00000000" w:rsidRPr="00000000">
          <w:rPr>
            <w:rtl w:val="0"/>
          </w:rPr>
          <w:t xml:space="preserve"> Available at: </w:t>
        </w:r>
      </w:hyperlink>
      <w:hyperlink r:id="rId10">
        <w:r w:rsidDel="00000000" w:rsidR="00000000" w:rsidRPr="00000000">
          <w:rPr>
            <w:color w:val="1155cc"/>
            <w:u w:val="single"/>
            <w:rtl w:val="0"/>
          </w:rPr>
          <w:t xml:space="preserve">https://doi.org/10.1002/9781119896838</w:t>
        </w:r>
      </w:hyperlink>
      <w:r w:rsidDel="00000000" w:rsidR="00000000" w:rsidRPr="00000000">
        <w:rPr>
          <w:rtl w:val="0"/>
        </w:rPr>
        <w:t xml:space="preserve">.</w:t>
      </w:r>
    </w:p>
    <w:p w:rsidR="00000000" w:rsidDel="00000000" w:rsidP="00000000" w:rsidRDefault="00000000" w:rsidRPr="00000000" w14:paraId="00000035">
      <w:pPr>
        <w:spacing w:after="240" w:before="240" w:line="480" w:lineRule="auto"/>
        <w:jc w:val="both"/>
        <w:rPr/>
      </w:pPr>
      <w:r w:rsidDel="00000000" w:rsidR="00000000" w:rsidRPr="00000000">
        <w:rPr>
          <w:rtl w:val="0"/>
        </w:rPr>
        <w:t xml:space="preserve">Vidoni, M., Codabux, Z. and Fard, F. H. (2022) 'Infinite Technical Debt', </w:t>
      </w:r>
      <w:r w:rsidDel="00000000" w:rsidR="00000000" w:rsidRPr="00000000">
        <w:rPr>
          <w:i w:val="1"/>
          <w:rtl w:val="0"/>
        </w:rPr>
        <w:t xml:space="preserve">The Journal of Systems and Software</w:t>
      </w:r>
      <w:r w:rsidDel="00000000" w:rsidR="00000000" w:rsidRPr="00000000">
        <w:rPr>
          <w:rtl w:val="0"/>
        </w:rPr>
        <w:t xml:space="preserve">, 190, pp. 111336.</w:t>
      </w:r>
    </w:p>
    <w:p w:rsidR="00000000" w:rsidDel="00000000" w:rsidP="00000000" w:rsidRDefault="00000000" w:rsidRPr="00000000" w14:paraId="00000036">
      <w:pPr>
        <w:spacing w:line="480" w:lineRule="auto"/>
        <w:jc w:val="both"/>
        <w:rPr/>
      </w:pPr>
      <w:r w:rsidDel="00000000" w:rsidR="00000000" w:rsidRPr="00000000">
        <w:rPr>
          <w:rtl w:val="0"/>
        </w:rPr>
      </w:r>
    </w:p>
    <w:sectPr>
      <w:foot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yperlink" Target="https://doi.org/10.1002/9781119896838" TargetMode="External"/><Relationship Id="rId9" Type="http://schemas.openxmlformats.org/officeDocument/2006/relationships/hyperlink" Target="https://doi.org/10.1002/9781119896838" TargetMode="External"/><Relationship Id="rId5" Type="http://schemas.openxmlformats.org/officeDocument/2006/relationships/styles" Target="styles.xml"/><Relationship Id="rId6" Type="http://schemas.openxmlformats.org/officeDocument/2006/relationships/hyperlink" Target="https://behave.readthedocs.io/en/stable/philosophy.html#the-gherkin-language" TargetMode="External"/><Relationship Id="rId7" Type="http://schemas.openxmlformats.org/officeDocument/2006/relationships/hyperlink" Target="https://behave.readthedocs.io/en/stable/philosophy.html#the-gherkin-language" TargetMode="External"/><Relationship Id="rId8" Type="http://schemas.openxmlformats.org/officeDocument/2006/relationships/hyperlink" Target="https://doi.org/10.30574/wjarr.2025.25.1.01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